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#121-bis electronic</w:t>
      </w:r>
      <w:r>
        <w:rPr>
          <w:sz w:val="24"/>
          <w:szCs w:val="24"/>
        </w:rPr>
        <w:tab/>
      </w:r>
      <w:r>
        <w:rPr>
          <w:sz w:val="24"/>
          <w:szCs w:val="24"/>
        </w:rPr>
        <w:t>R2-2</w:t>
      </w:r>
      <w:r>
        <w:rPr>
          <w:rFonts w:hint="eastAsia" w:eastAsia="宋体"/>
          <w:sz w:val="24"/>
          <w:szCs w:val="24"/>
          <w:lang w:val="en-US" w:eastAsia="zh-CN"/>
        </w:rPr>
        <w:t>303000</w:t>
      </w:r>
      <w:bookmarkStart w:id="3" w:name="_GoBack"/>
      <w:bookmarkEnd w:id="3"/>
    </w:p>
    <w:p>
      <w:pPr>
        <w:pStyle w:val="33"/>
        <w:tabs>
          <w:tab w:val="left" w:pos="1701"/>
          <w:tab w:val="right" w:pos="9923"/>
        </w:tabs>
        <w:rPr>
          <w:sz w:val="24"/>
          <w:szCs w:val="24"/>
        </w:rPr>
      </w:pPr>
      <w:r>
        <w:rPr>
          <w:sz w:val="24"/>
          <w:szCs w:val="24"/>
        </w:rPr>
        <w:t>April 17-26, 2023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mobility enhancement for connected mode</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2.1</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During the previous RAN2 meetings, the mobile IAB was discussed and the following agreements related with RRC Connected mode were reached. In this paper, we will focus on the remaining issues for mobile IAB and present our point of view.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ascii="CG Times (WN)" w:hAnsi="CG Times (WN)" w:eastAsia="Batang"/>
                <w:u w:val="single"/>
                <w:lang w:val="en-US" w:eastAsia="zh-CN"/>
              </w:rPr>
            </w:pPr>
            <w:r>
              <w:rPr>
                <w:rFonts w:hint="eastAsia" w:ascii="CG Times (WN)" w:hAnsi="CG Times (WN)" w:eastAsia="Batang"/>
                <w:u w:val="single"/>
                <w:lang w:val="en-US" w:eastAsia="zh-CN"/>
              </w:rPr>
              <w:t xml:space="preserve">Mobile IAB indication in msg5: </w:t>
            </w:r>
          </w:p>
          <w:p>
            <w:pPr>
              <w:rPr>
                <w:rFonts w:hint="eastAsia" w:ascii="CG Times (WN)" w:hAnsi="CG Times (WN)" w:eastAsia="Batang"/>
                <w:highlight w:val="none"/>
                <w:lang w:val="en-US" w:eastAsia="zh-CN"/>
              </w:rPr>
            </w:pPr>
            <w:r>
              <w:rPr>
                <w:rFonts w:hint="eastAsia" w:ascii="CG Times (WN)" w:hAnsi="CG Times (WN)" w:eastAsia="Batang"/>
                <w:lang w:val="en-US" w:eastAsia="zh-CN"/>
              </w:rPr>
              <w:t xml:space="preserve">UE capability signalling is the baseline to let CU know that the MT is a “mobile-IAB” type. </w:t>
            </w:r>
            <w:r>
              <w:rPr>
                <w:rFonts w:hint="eastAsia" w:ascii="CG Times (WN)" w:hAnsi="CG Times (WN)" w:eastAsia="Batang"/>
                <w:highlight w:val="none"/>
                <w:lang w:val="en-US" w:eastAsia="zh-CN"/>
              </w:rPr>
              <w:t>FFS early mobile-IAB indication, e.g. in Msg5.</w:t>
            </w:r>
          </w:p>
          <w:p>
            <w:pPr>
              <w:rPr>
                <w:rFonts w:hint="default" w:ascii="CG Times (WN)" w:hAnsi="CG Times (WN)" w:eastAsia="Batang"/>
                <w:lang w:val="en-US" w:eastAsia="zh-CN"/>
              </w:rPr>
            </w:pPr>
            <w:r>
              <w:rPr>
                <w:rFonts w:hint="default" w:ascii="CG Times (WN)" w:hAnsi="CG Times (WN)" w:eastAsia="Batang"/>
                <w:lang w:val="en-US" w:eastAsia="zh-CN"/>
              </w:rPr>
              <w:t xml:space="preserve">R2 assumes that It is up to RAN3 or SA2 to decide whether to support early mobile IAB indication in Msg5 because it depends whether donor CU needs to select an AMF supporting mobile IAB. </w:t>
            </w:r>
          </w:p>
          <w:p>
            <w:pPr>
              <w:rPr>
                <w:rFonts w:hint="default" w:ascii="CG Times (WN)" w:hAnsi="CG Times (WN)" w:eastAsia="Batang"/>
                <w:lang w:val="en-US" w:eastAsia="zh-CN"/>
              </w:rPr>
            </w:pPr>
            <w:r>
              <w:rPr>
                <w:rFonts w:hint="default" w:ascii="CG Times (WN)" w:hAnsi="CG Times (WN)" w:eastAsia="Batang"/>
                <w:lang w:val="en-US" w:eastAsia="zh-CN"/>
              </w:rPr>
              <w:t xml:space="preserve">Postponed, AMF selection in the base-station is a Ran3 function, Ran2 expect RAN3 to ask for it if support for this is needed </w:t>
            </w:r>
          </w:p>
          <w:p>
            <w:pPr>
              <w:rPr>
                <w:rFonts w:hint="default" w:ascii="CG Times (WN)" w:hAnsi="CG Times (WN)" w:eastAsia="Batang"/>
                <w:lang w:val="en-US" w:eastAsia="zh-CN"/>
              </w:rPr>
            </w:pPr>
          </w:p>
          <w:p>
            <w:pPr>
              <w:rPr>
                <w:rFonts w:hint="default" w:ascii="CG Times (WN)" w:hAnsi="CG Times (WN)" w:eastAsia="Batang"/>
                <w:u w:val="single"/>
                <w:lang w:val="en-US" w:eastAsia="zh-CN"/>
              </w:rPr>
            </w:pPr>
            <w:r>
              <w:rPr>
                <w:rFonts w:hint="eastAsia" w:ascii="CG Times (WN)" w:hAnsi="CG Times (WN)" w:eastAsia="Batang"/>
                <w:u w:val="single"/>
                <w:lang w:val="en-US" w:eastAsia="zh-CN"/>
              </w:rPr>
              <w:t>RACH-less HO:</w:t>
            </w:r>
          </w:p>
          <w:p>
            <w:pPr>
              <w:rPr>
                <w:rFonts w:hint="default" w:ascii="CG Times (WN)" w:hAnsi="CG Times (WN)" w:eastAsia="Batang"/>
                <w:lang w:val="en-US" w:eastAsia="zh-CN"/>
              </w:rPr>
            </w:pPr>
            <w:r>
              <w:rPr>
                <w:rFonts w:hint="default" w:ascii="CG Times (WN)" w:hAnsi="CG Times (WN)" w:eastAsia="Batang"/>
                <w:lang w:val="en-US" w:eastAsia="zh-CN"/>
              </w:rPr>
              <w:t xml:space="preserve">R2 assumes RACH-less procedure may be considered for on-board RRC_CONNECTED UEs, which are to be handed over together with the mobile IAB-node (would depend also on the assumptions for UL synch). </w:t>
            </w:r>
          </w:p>
          <w:p>
            <w:pPr>
              <w:rPr>
                <w:rFonts w:hint="default" w:ascii="CG Times (WN)" w:hAnsi="CG Times (WN)" w:eastAsia="Batang"/>
                <w:lang w:val="en-US" w:eastAsia="zh-CN"/>
              </w:rPr>
            </w:pPr>
          </w:p>
          <w:p>
            <w:pPr>
              <w:rPr>
                <w:rFonts w:hint="default" w:ascii="CG Times (WN)" w:hAnsi="CG Times (WN)" w:eastAsia="Batang"/>
                <w:u w:val="single"/>
                <w:lang w:val="en-US" w:eastAsia="zh-CN"/>
              </w:rPr>
            </w:pPr>
            <w:r>
              <w:rPr>
                <w:rFonts w:hint="eastAsia" w:ascii="CG Times (WN)" w:hAnsi="CG Times (WN)" w:eastAsia="Batang"/>
                <w:u w:val="single"/>
                <w:lang w:val="en-US" w:eastAsia="zh-CN"/>
              </w:rPr>
              <w:t>CHO:</w:t>
            </w:r>
          </w:p>
          <w:p>
            <w:pPr>
              <w:rPr>
                <w:rFonts w:hint="default" w:ascii="CG Times (WN)" w:hAnsi="CG Times (WN)" w:eastAsia="Batang"/>
                <w:lang w:val="en-US" w:eastAsia="zh-CN"/>
              </w:rPr>
            </w:pPr>
            <w:r>
              <w:rPr>
                <w:rFonts w:hint="default" w:ascii="CG Times (WN)" w:hAnsi="CG Times (WN)" w:eastAsia="Batang"/>
                <w:lang w:val="en-US" w:eastAsia="zh-CN"/>
              </w:rPr>
              <w:t xml:space="preserve">R2 assumes that CHO or delayed RRC config could be the baseline for group mobility (FFS if could be applicable for mobility of IAB MT), i.e. with a preparation in advance (not immediately) of the execution. </w:t>
            </w:r>
          </w:p>
          <w:p>
            <w:pPr>
              <w:rPr>
                <w:rFonts w:hint="default" w:ascii="CG Times (WN)" w:hAnsi="CG Times (WN)" w:eastAsia="Batang"/>
                <w:lang w:val="en-US" w:eastAsia="zh-CN"/>
              </w:rPr>
            </w:pPr>
          </w:p>
          <w:p>
            <w:pPr>
              <w:rPr>
                <w:rFonts w:hint="eastAsia" w:ascii="CG Times (WN)" w:hAnsi="CG Times (WN)" w:eastAsia="Batang"/>
                <w:u w:val="single"/>
                <w:lang w:val="en-US" w:eastAsia="zh-CN"/>
              </w:rPr>
            </w:pPr>
            <w:r>
              <w:rPr>
                <w:rFonts w:hint="eastAsia" w:ascii="CG Times (WN)" w:hAnsi="CG Times (WN)" w:eastAsia="Batang"/>
                <w:u w:val="single"/>
                <w:lang w:val="en-US" w:eastAsia="zh-CN"/>
              </w:rPr>
              <w:t>Group mobility procedure:</w:t>
            </w:r>
          </w:p>
          <w:p>
            <w:pPr>
              <w:rPr>
                <w:rFonts w:hint="default" w:ascii="CG Times (WN)" w:hAnsi="CG Times (WN)" w:eastAsia="Batang"/>
                <w:u w:val="none"/>
                <w:lang w:val="en-US" w:eastAsia="zh-CN"/>
              </w:rPr>
            </w:pPr>
            <w:r>
              <w:rPr>
                <w:rFonts w:hint="default" w:ascii="CG Times (WN)" w:hAnsi="CG Times (WN)" w:eastAsia="Batang"/>
                <w:u w:val="none"/>
                <w:lang w:val="en-US" w:eastAsia="zh-CN"/>
              </w:rPr>
              <w:t>The following options O1 O2 O3 are</w:t>
            </w:r>
            <w:r>
              <w:rPr>
                <w:rFonts w:hint="eastAsia" w:ascii="CG Times (WN)" w:hAnsi="CG Times (WN)" w:eastAsia="Batang"/>
                <w:u w:val="none"/>
                <w:lang w:val="en-US" w:eastAsia="zh-CN"/>
              </w:rPr>
              <w:t xml:space="preserve"> discussed and </w:t>
            </w:r>
            <w:r>
              <w:rPr>
                <w:rFonts w:hint="default" w:ascii="CG Times (WN)" w:hAnsi="CG Times (WN)" w:eastAsia="Batang"/>
                <w:lang w:val="en-US" w:eastAsia="zh-CN"/>
              </w:rPr>
              <w:t>RAN2 assumes that O1 and O3 could work, and FFS if O2 (new trigger etc) is needed.</w:t>
            </w:r>
          </w:p>
          <w:p>
            <w:pPr>
              <w:rPr>
                <w:rFonts w:hint="default" w:ascii="CG Times (WN)" w:hAnsi="CG Times (WN)" w:eastAsia="Batang"/>
                <w:lang w:val="en-US" w:eastAsia="zh-CN"/>
              </w:rPr>
            </w:pPr>
            <w:r>
              <w:rPr>
                <w:rFonts w:hint="eastAsia" w:ascii="CG Times (WN)" w:hAnsi="CG Times (WN)" w:eastAsia="Batang"/>
                <w:lang w:val="en-US" w:eastAsia="zh-CN"/>
              </w:rPr>
              <w:t>Option 1:</w:t>
            </w:r>
            <w:r>
              <w:rPr>
                <w:rFonts w:hint="default" w:ascii="CG Times (WN)" w:hAnsi="CG Times (WN)" w:eastAsia="Batang"/>
                <w:lang w:val="en-US" w:eastAsia="zh-CN"/>
              </w:rPr>
              <w:t xml:space="preserve"> message withholding by the logical source IAB-DU with conditional delivery, e.g., upon on MT migration, </w:t>
            </w:r>
          </w:p>
          <w:p>
            <w:pPr>
              <w:rPr>
                <w:rFonts w:hint="default" w:ascii="CG Times (WN)" w:hAnsi="CG Times (WN)" w:eastAsia="Batang"/>
                <w:lang w:val="en-US" w:eastAsia="zh-CN"/>
              </w:rPr>
            </w:pPr>
            <w:r>
              <w:rPr>
                <w:rFonts w:hint="eastAsia" w:ascii="CG Times (WN)" w:hAnsi="CG Times (WN)" w:eastAsia="Batang"/>
                <w:lang w:val="en-US" w:eastAsia="zh-CN"/>
              </w:rPr>
              <w:t>Option 2:</w:t>
            </w:r>
            <w:r>
              <w:rPr>
                <w:rFonts w:hint="default" w:ascii="CG Times (WN)" w:hAnsi="CG Times (WN)" w:eastAsia="Batang"/>
                <w:lang w:val="en-US" w:eastAsia="zh-CN"/>
              </w:rPr>
              <w:t xml:space="preserve"> conditional execution by the UE based on, e.g., a broadcast indication such as SIB indication of service time or DCI indication of MT-migration, (includes CHO with new trigger). </w:t>
            </w:r>
          </w:p>
          <w:p>
            <w:pPr>
              <w:rPr>
                <w:rFonts w:hint="default" w:ascii="CG Times (WN)" w:hAnsi="CG Times (WN)" w:eastAsia="Batang"/>
                <w:lang w:val="en-US" w:eastAsia="zh-CN"/>
              </w:rPr>
            </w:pPr>
            <w:r>
              <w:rPr>
                <w:rFonts w:hint="eastAsia" w:ascii="CG Times (WN)" w:hAnsi="CG Times (WN)" w:eastAsia="Batang"/>
                <w:lang w:val="en-US" w:eastAsia="zh-CN"/>
              </w:rPr>
              <w:t>Option 3:</w:t>
            </w:r>
            <w:r>
              <w:rPr>
                <w:rFonts w:hint="default" w:ascii="CG Times (WN)" w:hAnsi="CG Times (WN)" w:eastAsia="Batang"/>
                <w:lang w:val="en-US" w:eastAsia="zh-CN"/>
              </w:rPr>
              <w:t xml:space="preserve"> legacy CHO (with implementation specific behaviour, e.g. using source-cell power down or target cell power up triggering the actual HO)</w:t>
            </w:r>
          </w:p>
        </w:tc>
      </w:tr>
    </w:tbl>
    <w:p>
      <w:pPr>
        <w:pStyle w:val="2"/>
        <w:jc w:val="both"/>
        <w:rPr>
          <w:lang w:eastAsia="zh-CN"/>
        </w:rPr>
      </w:pPr>
      <w:r>
        <w:rPr>
          <w:rFonts w:hint="eastAsia" w:eastAsia="宋体"/>
          <w:lang w:eastAsia="zh-CN"/>
        </w:rPr>
        <w:t>Discussion</w:t>
      </w:r>
    </w:p>
    <w:p>
      <w:pPr>
        <w:pStyle w:val="3"/>
        <w:bidi w:val="0"/>
        <w:rPr>
          <w:rFonts w:hint="eastAsia"/>
          <w:lang w:val="en-US" w:eastAsia="zh-CN"/>
        </w:rPr>
      </w:pPr>
      <w:r>
        <w:rPr>
          <w:rFonts w:hint="eastAsia"/>
          <w:lang w:val="en-US" w:eastAsia="zh-CN"/>
        </w:rPr>
        <w:t>Mobile IAB indication from IAB-MT to donor CU</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default" w:ascii="Times New Roman" w:hAnsi="Times New Roman" w:eastAsia="宋体" w:cs="Times New Roman"/>
          <w:lang w:val="en-US" w:eastAsia="zh-CN"/>
        </w:rPr>
      </w:pPr>
      <w:r>
        <w:rPr>
          <w:rFonts w:hint="eastAsia" w:cs="Times New Roman"/>
          <w:i w:val="0"/>
          <w:iCs w:val="0"/>
          <w:color w:val="auto"/>
          <w:kern w:val="2"/>
          <w:sz w:val="20"/>
          <w:szCs w:val="20"/>
          <w:lang w:val="en-US" w:eastAsia="zh-CN"/>
        </w:rPr>
        <w:t xml:space="preserve">During RAN2#121 meeting, </w:t>
      </w:r>
      <w:r>
        <w:rPr>
          <w:rFonts w:hint="eastAsia" w:ascii="Times New Roman" w:hAnsi="Times New Roman" w:cs="Times New Roman"/>
          <w:i w:val="0"/>
          <w:iCs w:val="0"/>
          <w:color w:val="auto"/>
          <w:kern w:val="2"/>
          <w:sz w:val="20"/>
          <w:szCs w:val="20"/>
          <w:lang w:val="en-US" w:eastAsia="zh-CN"/>
        </w:rPr>
        <w:t>RAN2 has agreed to</w:t>
      </w:r>
      <w:r>
        <w:rPr>
          <w:rFonts w:hint="default" w:ascii="Times New Roman" w:hAnsi="Times New Roman" w:cs="Times New Roman"/>
          <w:i w:val="0"/>
          <w:iCs w:val="0"/>
          <w:color w:val="auto"/>
          <w:kern w:val="2"/>
          <w:sz w:val="20"/>
          <w:szCs w:val="20"/>
          <w:lang w:val="en-US" w:eastAsia="zh-CN"/>
        </w:rPr>
        <w:t xml:space="preserve"> </w:t>
      </w:r>
      <w:r>
        <w:rPr>
          <w:rFonts w:hint="default" w:ascii="Times New Roman" w:hAnsi="Times New Roman" w:eastAsia="Batang" w:cs="Times New Roman"/>
          <w:lang w:val="en-US" w:eastAsia="zh-CN"/>
        </w:rPr>
        <w:t>discuss whether the mobile IAB-MT need to send a mobile-IAB indication</w:t>
      </w:r>
      <w:r>
        <w:rPr>
          <w:rFonts w:hint="eastAsia" w:eastAsia="Batang" w:cs="Times New Roman"/>
          <w:lang w:val="en-US" w:eastAsia="zh-CN"/>
        </w:rPr>
        <w:t xml:space="preserve"> in Msg5 </w:t>
      </w:r>
      <w:r>
        <w:rPr>
          <w:rFonts w:hint="default" w:ascii="Times New Roman" w:hAnsi="Times New Roman" w:eastAsia="Batang" w:cs="Times New Roman"/>
          <w:lang w:val="en-US" w:eastAsia="zh-CN"/>
        </w:rPr>
        <w:t>to the donor</w:t>
      </w:r>
      <w:r>
        <w:rPr>
          <w:rFonts w:hint="eastAsia" w:eastAsia="Batang" w:cs="Times New Roman"/>
          <w:lang w:val="en-US" w:eastAsia="zh-CN"/>
        </w:rPr>
        <w:t xml:space="preserve"> </w:t>
      </w:r>
      <w:r>
        <w:rPr>
          <w:rFonts w:hint="default" w:ascii="Times New Roman" w:hAnsi="Times New Roman" w:eastAsia="Batang" w:cs="Times New Roman"/>
          <w:lang w:val="en-US" w:eastAsia="zh-CN"/>
        </w:rPr>
        <w:t>CU</w:t>
      </w:r>
      <w:r>
        <w:rPr>
          <w:rFonts w:hint="eastAsia" w:eastAsia="Batang" w:cs="Times New Roman"/>
          <w:lang w:val="en-US" w:eastAsia="zh-CN"/>
        </w:rPr>
        <w:t xml:space="preserve"> which may be used</w:t>
      </w:r>
      <w:r>
        <w:rPr>
          <w:rFonts w:hint="default" w:ascii="Times New Roman" w:hAnsi="Times New Roman" w:eastAsia="Batang" w:cs="Times New Roman"/>
          <w:lang w:val="en-US" w:eastAsia="zh-CN"/>
        </w:rPr>
        <w:t xml:space="preserve"> by donor CU to select an AMF supporting mobile IAB for mobile IAB-MT.</w:t>
      </w:r>
      <w:r>
        <w:rPr>
          <w:rFonts w:hint="eastAsia" w:eastAsia="Batang" w:cs="Times New Roman"/>
          <w:lang w:val="en-US" w:eastAsia="zh-CN"/>
        </w:rPr>
        <w:t xml:space="preserve"> However, it is finally postponed considering that</w:t>
      </w:r>
      <w:r>
        <w:rPr>
          <w:rFonts w:hint="default" w:ascii="Times New Roman" w:hAnsi="Times New Roman" w:eastAsia="Batang" w:cs="Times New Roman"/>
          <w:lang w:val="en-US" w:eastAsia="zh-CN"/>
        </w:rPr>
        <w:t xml:space="preserve"> AMF selection in the base-station is a Ran3 function and R</w:t>
      </w:r>
      <w:r>
        <w:rPr>
          <w:rFonts w:hint="eastAsia" w:ascii="Times New Roman" w:hAnsi="Times New Roman" w:eastAsia="Batang" w:cs="Times New Roman"/>
          <w:lang w:val="en-US" w:eastAsia="zh-CN"/>
        </w:rPr>
        <w:t>AN</w:t>
      </w:r>
      <w:r>
        <w:rPr>
          <w:rFonts w:hint="default" w:ascii="Times New Roman" w:hAnsi="Times New Roman" w:eastAsia="Batang" w:cs="Times New Roman"/>
          <w:lang w:val="en-US" w:eastAsia="zh-CN"/>
        </w:rPr>
        <w:t xml:space="preserve">2 expect RAN3 to ask for it if support for this is needed.  </w:t>
      </w:r>
      <w:r>
        <w:rPr>
          <w:rFonts w:hint="eastAsia" w:ascii="Times New Roman" w:hAnsi="Times New Roman" w:eastAsia="Batang" w:cs="Times New Roman"/>
          <w:lang w:val="en-US" w:eastAsia="zh-CN"/>
        </w:rPr>
        <w:t xml:space="preserve">Actually, according to the latest TS 23.501 v18.1.0, it has been specified by SA2 that the MBSR node provide the mobile IAB-indication to the IAB-donor-CU when the RRC connection is established. Upon receiving the </w:t>
      </w:r>
      <w:r>
        <w:t>mobile IAB-indication</w:t>
      </w:r>
      <w:r>
        <w:rPr>
          <w:rFonts w:hint="eastAsia"/>
          <w:lang w:val="en-US" w:eastAsia="zh-CN"/>
        </w:rPr>
        <w:t>, the IAB-donor-CU selects an AMF that supports IAB-node with mobility. The detailed description are copied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eastAsia="宋体"/>
                <w:lang w:val="en-US" w:eastAsia="zh-CN"/>
              </w:rPr>
            </w:pPr>
            <w:r>
              <w:rPr>
                <w:rFonts w:hint="eastAsia"/>
                <w:lang w:val="en-US" w:eastAsia="zh-CN"/>
              </w:rPr>
              <w:t>TS 23.501 v18.1.0</w:t>
            </w:r>
          </w:p>
          <w:p>
            <w:pPr>
              <w:rPr>
                <w:rFonts w:hint="default" w:ascii="Times New Roman" w:hAnsi="Times New Roman" w:eastAsia="Batang" w:cs="Times New Roman"/>
                <w:vertAlign w:val="baseline"/>
                <w:lang w:val="en-US" w:eastAsia="zh-CN"/>
              </w:rPr>
            </w:pPr>
            <w:r>
              <w:t>For a MBSR node,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w:t>
            </w:r>
          </w:p>
        </w:tc>
      </w:tr>
    </w:tbl>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default" w:ascii="Times New Roman" w:hAnsi="Times New Roman" w:eastAsia="Batang" w:cs="Times New Roman"/>
          <w:b/>
          <w:bCs/>
          <w:lang w:val="en-US" w:eastAsia="zh-CN"/>
        </w:rPr>
      </w:pPr>
      <w:r>
        <w:rPr>
          <w:rFonts w:hint="eastAsia" w:ascii="Times New Roman" w:hAnsi="Times New Roman" w:eastAsia="Batang" w:cs="Times New Roman"/>
          <w:b/>
          <w:bCs/>
          <w:lang w:val="en-US" w:eastAsia="zh-CN"/>
        </w:rPr>
        <w:t xml:space="preserve">Observation 1: SA2 has agreed that MBSR node provide the mobile IAB-indication to the IAB-donor-CU when the RRC connection is established. Upon receiving the </w:t>
      </w:r>
      <w:r>
        <w:rPr>
          <w:b/>
          <w:bCs/>
        </w:rPr>
        <w:t>mobile IAB-indication</w:t>
      </w:r>
      <w:r>
        <w:rPr>
          <w:rFonts w:hint="eastAsia"/>
          <w:b/>
          <w:bCs/>
          <w:lang w:val="en-US" w:eastAsia="zh-CN"/>
        </w:rPr>
        <w:t>, the IAB-donor-CU selects an AMF that supports IAB-node with mobility.</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highlight w:val="none"/>
          <w:lang w:val="en-US" w:eastAsia="zh-CN"/>
        </w:rPr>
      </w:pPr>
      <w:r>
        <w:rPr>
          <w:rFonts w:hint="eastAsia" w:eastAsia="Batang" w:cs="Times New Roman"/>
          <w:lang w:val="en-US" w:eastAsia="zh-CN"/>
        </w:rPr>
        <w:t xml:space="preserve">When it comes to the RRC connection establishment procedure, it is feasible to include the mobile IAB-indication in Msg5, i.e. RRCSetupComplete message. </w:t>
      </w:r>
      <w:r>
        <w:rPr>
          <w:rFonts w:hint="eastAsia" w:eastAsia="Batang" w:cs="Times New Roman"/>
          <w:highlight w:val="none"/>
          <w:lang w:val="en-US" w:eastAsia="zh-CN"/>
        </w:rPr>
        <w:t xml:space="preserve">Upon receiving such indication, the donor CU may select an AMF which support mobile IAB for this mobile IAB-MT. </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default"/>
          <w:b/>
          <w:bCs/>
          <w:highlight w:val="none"/>
          <w:lang w:val="en-US" w:eastAsia="zh-CN"/>
        </w:rPr>
      </w:pPr>
      <w:r>
        <w:rPr>
          <w:rFonts w:hint="eastAsia"/>
          <w:b/>
          <w:bCs/>
          <w:highlight w:val="none"/>
          <w:lang w:val="en-US" w:eastAsia="zh-CN"/>
        </w:rPr>
        <w:t xml:space="preserve">Proposal 1: Mobile IAB-MT sends the mobile IAB-indication via the RRCSetupComplete message to IAB-donor-CU.  </w:t>
      </w:r>
    </w:p>
    <w:p>
      <w:pPr>
        <w:pStyle w:val="3"/>
        <w:bidi w:val="0"/>
        <w:rPr>
          <w:rFonts w:hint="default"/>
          <w:lang w:val="en-US" w:eastAsia="zh-CN"/>
        </w:rPr>
      </w:pPr>
      <w:r>
        <w:rPr>
          <w:rFonts w:hint="eastAsia"/>
          <w:lang w:val="en-US" w:eastAsia="zh-CN"/>
        </w:rPr>
        <w:t>RACH-less HO</w:t>
      </w:r>
    </w:p>
    <w:p>
      <w:pPr>
        <w:jc w:val="both"/>
        <w:rPr>
          <w:rFonts w:hint="eastAsia"/>
          <w:b w:val="0"/>
          <w:bCs w:val="0"/>
          <w:lang w:val="en-US" w:eastAsia="zh-CN"/>
        </w:rPr>
      </w:pPr>
      <w:r>
        <w:rPr>
          <w:rFonts w:hint="eastAsia"/>
          <w:lang w:val="en-US" w:eastAsia="zh-CN"/>
        </w:rPr>
        <w:t xml:space="preserve">Based on the previous discussion, </w:t>
      </w:r>
      <w:r>
        <w:rPr>
          <w:rFonts w:hint="eastAsia"/>
          <w:b w:val="0"/>
          <w:bCs w:val="0"/>
          <w:lang w:val="en-US" w:eastAsia="zh-CN"/>
        </w:rPr>
        <w:t>R2 assumes RACH-less procedure may be considered for on-board RRC_CONNECTED UEs, which are to be handed over together with the mobile IAB-node (would depend also on the assumptions for UL synch).</w:t>
      </w:r>
    </w:p>
    <w:p>
      <w:pPr>
        <w:jc w:val="both"/>
        <w:rPr>
          <w:highlight w:val="none"/>
        </w:rPr>
      </w:pPr>
      <w:r>
        <w:rPr>
          <w:rFonts w:hint="eastAsia"/>
          <w:lang w:val="en-US" w:eastAsia="zh-CN"/>
        </w:rPr>
        <w:t xml:space="preserve">As far as we know, RACH-less HO has been specified in LTE specification. To be specific, target eNB may decide whether RACH may be skipped for UE during HO prepartion phase. If UE receives the HO command with rach-Skip indication, </w:t>
      </w:r>
      <w:r>
        <w:rPr>
          <w:highlight w:val="none"/>
        </w:rPr>
        <w:t xml:space="preserve">the UE </w:t>
      </w:r>
      <w:r>
        <w:rPr>
          <w:rFonts w:hint="eastAsia"/>
          <w:highlight w:val="none"/>
          <w:lang w:val="en-US" w:eastAsia="zh-CN"/>
        </w:rPr>
        <w:t>does not perform RACH. Instead, it performs synchronization to</w:t>
      </w:r>
      <w:r>
        <w:rPr>
          <w:highlight w:val="none"/>
        </w:rPr>
        <w:t xml:space="preserve"> the target cell via </w:t>
      </w:r>
      <w:r>
        <w:rPr>
          <w:rFonts w:hint="eastAsia"/>
          <w:highlight w:val="none"/>
          <w:lang w:val="en-US" w:eastAsia="zh-CN"/>
        </w:rPr>
        <w:t>the</w:t>
      </w:r>
      <w:r>
        <w:rPr>
          <w:highlight w:val="none"/>
        </w:rPr>
        <w:t xml:space="preserve"> timing adjustment indication and optionally the </w:t>
      </w:r>
      <w:r>
        <w:rPr>
          <w:rFonts w:hint="eastAsia"/>
          <w:highlight w:val="none"/>
          <w:lang w:val="en-US" w:eastAsia="zh-CN"/>
        </w:rPr>
        <w:t xml:space="preserve">periodic </w:t>
      </w:r>
      <w:r>
        <w:rPr>
          <w:highlight w:val="none"/>
        </w:rPr>
        <w:t>uplink grant preallocated to the UE</w:t>
      </w:r>
      <w:r>
        <w:rPr>
          <w:rFonts w:hint="eastAsia"/>
          <w:highlight w:val="none"/>
          <w:lang w:val="en-US" w:eastAsia="zh-CN"/>
        </w:rPr>
        <w:t xml:space="preserve"> via RRC message</w:t>
      </w:r>
      <w:r>
        <w:rPr>
          <w:highlight w:val="none"/>
        </w:rPr>
        <w:t xml:space="preserve">. If </w:t>
      </w:r>
      <w:r>
        <w:rPr>
          <w:rFonts w:hint="eastAsia"/>
          <w:highlight w:val="none"/>
          <w:lang w:val="en-US" w:eastAsia="zh-CN"/>
        </w:rPr>
        <w:t xml:space="preserve">periodic </w:t>
      </w:r>
      <w:r>
        <w:rPr>
          <w:highlight w:val="none"/>
        </w:rPr>
        <w:t>preallocated uplink grant is not included, the UE should monitor PDCCH of the target eNB to receive an uplink grant. The UE uses the first available uplink grant after synchronization to the target cell.</w:t>
      </w:r>
      <w:r>
        <w:rPr>
          <w:rFonts w:hint="eastAsia"/>
          <w:highlight w:val="none"/>
          <w:lang w:val="en-US" w:eastAsia="zh-CN"/>
        </w:rPr>
        <w:t xml:space="preserve"> The first available uplink grant is used by UE to send the </w:t>
      </w:r>
      <w:r>
        <w:rPr>
          <w:i/>
          <w:highlight w:val="none"/>
        </w:rPr>
        <w:t>RRCConnectionReconfigurationComplete</w:t>
      </w:r>
      <w:r>
        <w:rPr>
          <w:highlight w:val="none"/>
        </w:rPr>
        <w:t xml:space="preserve"> message (C-RNTI) to confirm the handover, along with an uplink Buffer Status Report, and/or UL data, to the target eNB. The target eNB verifies the C-RNTI sent in the </w:t>
      </w:r>
      <w:r>
        <w:rPr>
          <w:i/>
          <w:highlight w:val="none"/>
        </w:rPr>
        <w:t>RRCConnectionReconfigurationComplete</w:t>
      </w:r>
      <w:r>
        <w:rPr>
          <w:highlight w:val="none"/>
        </w:rPr>
        <w:t xml:space="preserve"> message. The target eNB can now begin sending data to the UE. The handover procedure is completed for the UE when the UE receives the UE contention resolution identity MAC control element from the target eNB.</w:t>
      </w:r>
    </w:p>
    <w:p>
      <w:pPr>
        <w:jc w:val="both"/>
        <w:rPr>
          <w:highlight w:val="none"/>
        </w:rPr>
      </w:pPr>
      <w:r>
        <w:rPr>
          <w:rFonts w:hint="eastAsia"/>
          <w:highlight w:val="none"/>
          <w:lang w:val="en-US" w:eastAsia="zh-CN"/>
        </w:rPr>
        <w:t>On the other hand, it</w:t>
      </w:r>
      <w:r>
        <w:rPr>
          <w:rFonts w:hint="default" w:ascii="Times New Roman" w:hAnsi="Times New Roman" w:cs="Times New Roman"/>
          <w:lang w:val="en-US" w:eastAsia="zh-CN"/>
        </w:rPr>
        <w:t xml:space="preserve"> has </w:t>
      </w:r>
      <w:r>
        <w:rPr>
          <w:rFonts w:hint="eastAsia" w:ascii="Times New Roman" w:hAnsi="Times New Roman" w:cs="Times New Roman"/>
          <w:lang w:val="en-US" w:eastAsia="zh-CN"/>
        </w:rPr>
        <w:t xml:space="preserve">been </w:t>
      </w:r>
      <w:r>
        <w:rPr>
          <w:rFonts w:hint="default" w:ascii="Times New Roman" w:hAnsi="Times New Roman" w:cs="Times New Roman"/>
          <w:lang w:val="en-US" w:eastAsia="zh-CN"/>
        </w:rPr>
        <w:t xml:space="preserve">agreed to support RACH-less handover </w:t>
      </w:r>
      <w:r>
        <w:rPr>
          <w:rFonts w:hint="eastAsia" w:ascii="Times New Roman" w:hAnsi="Times New Roman" w:cs="Times New Roman"/>
          <w:lang w:val="en-US" w:eastAsia="zh-CN"/>
        </w:rPr>
        <w:t xml:space="preserve">in RAN2#121 meeting for </w:t>
      </w:r>
      <w:r>
        <w:rPr>
          <w:rFonts w:hint="eastAsia"/>
          <w:highlight w:val="none"/>
          <w:lang w:val="en-US" w:eastAsia="zh-CN"/>
        </w:rPr>
        <w:t>the</w:t>
      </w:r>
      <w:r>
        <w:rPr>
          <w:rFonts w:hint="default" w:ascii="Times New Roman" w:hAnsi="Times New Roman" w:cs="Times New Roman"/>
          <w:highlight w:val="none"/>
          <w:lang w:val="en-US" w:eastAsia="zh-CN"/>
        </w:rPr>
        <w:t xml:space="preserve"> </w:t>
      </w:r>
      <w:r>
        <w:rPr>
          <w:rFonts w:hint="default" w:ascii="Times New Roman" w:hAnsi="Times New Roman" w:cs="Times New Roman"/>
        </w:rPr>
        <w:t>Rel-18 NR NTN</w:t>
      </w:r>
      <w:r>
        <w:rPr>
          <w:rFonts w:hint="default" w:ascii="Times New Roman" w:hAnsi="Times New Roman" w:cs="Times New Roman"/>
          <w:lang w:val="en-US" w:eastAsia="zh-CN"/>
        </w:rPr>
        <w:t xml:space="preserve"> WI. </w:t>
      </w:r>
      <w:r>
        <w:rPr>
          <w:rFonts w:hint="eastAsia" w:ascii="Times New Roman" w:hAnsi="Times New Roman" w:cs="Times New Roman"/>
          <w:lang w:val="en-US" w:eastAsia="zh-CN"/>
        </w:rPr>
        <w:t>According to the status report of</w:t>
      </w:r>
      <w:r>
        <w:rPr>
          <w:rFonts w:hint="default" w:ascii="Times New Roman" w:hAnsi="Times New Roman" w:cs="Times New Roman"/>
          <w:lang w:val="en-US" w:eastAsia="zh-CN"/>
        </w:rPr>
        <w:t xml:space="preserve"> </w:t>
      </w:r>
      <w:r>
        <w:rPr>
          <w:rFonts w:hint="default" w:ascii="Times New Roman" w:hAnsi="Times New Roman" w:cs="Times New Roman"/>
        </w:rPr>
        <w:t>NR-NTN-enh</w:t>
      </w:r>
      <w:r>
        <w:rPr>
          <w:rFonts w:hint="default" w:ascii="Times New Roman" w:hAnsi="Times New Roman" w:cs="Times New Roman"/>
          <w:lang w:val="en-US" w:eastAsia="zh-CN"/>
        </w:rPr>
        <w:t xml:space="preserve">(RP-230119), the </w:t>
      </w:r>
      <w:r>
        <w:rPr>
          <w:rFonts w:hint="eastAsia" w:ascii="Times New Roman" w:hAnsi="Times New Roman" w:cs="Times New Roman"/>
          <w:lang w:val="en-US" w:eastAsia="zh-CN"/>
        </w:rPr>
        <w:t>following agreements on RACH-less HO has been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rPr>
                <w:lang w:eastAsia="ja-JP"/>
              </w:rPr>
            </w:pPr>
            <w:r>
              <w:rPr>
                <w:lang w:eastAsia="ja-JP"/>
              </w:rPr>
              <w:t>1.</w:t>
            </w:r>
            <w:r>
              <w:rPr>
                <w:lang w:eastAsia="ja-JP"/>
              </w:rPr>
              <w:tab/>
            </w:r>
            <w:r>
              <w:rPr>
                <w:lang w:eastAsia="ja-JP"/>
              </w:rPr>
              <w:t>Support RACH-less Handover in Rel-18.</w:t>
            </w:r>
          </w:p>
          <w:p>
            <w:pPr>
              <w:rPr>
                <w:rFonts w:hint="eastAsia" w:eastAsia="宋体"/>
                <w:lang w:val="en-US" w:eastAsia="zh-CN"/>
              </w:rPr>
            </w:pPr>
            <w:r>
              <w:rPr>
                <w:lang w:eastAsia="ja-JP"/>
              </w:rPr>
              <w:t>2.</w:t>
            </w:r>
            <w:r>
              <w:rPr>
                <w:lang w:eastAsia="ja-JP"/>
              </w:rPr>
              <w:tab/>
            </w:r>
            <w:r>
              <w:rPr>
                <w:lang w:eastAsia="ja-JP"/>
              </w:rPr>
              <w:t xml:space="preserve">RACH-less Handover in NR NTN is a L3 mobility procedure (FFS if this is combined with the unchanged PCI approach, if supported) and uses the LTE’s RACH-less Handover procedure as a baseline. </w:t>
            </w:r>
            <w:r>
              <w:rPr>
                <w:highlight w:val="yellow"/>
                <w:lang w:eastAsia="ja-JP"/>
              </w:rPr>
              <w:t>FFS on TA acquisition</w:t>
            </w:r>
            <w:r>
              <w:rPr>
                <w:rFonts w:hint="eastAsia"/>
                <w:lang w:val="en-US" w:eastAsia="zh-CN"/>
              </w:rPr>
              <w:t>.</w:t>
            </w:r>
          </w:p>
          <w:p>
            <w:pPr>
              <w:rPr>
                <w:lang w:eastAsia="ja-JP"/>
              </w:rPr>
            </w:pPr>
            <w:r>
              <w:rPr>
                <w:lang w:eastAsia="ja-JP"/>
              </w:rPr>
              <w:t>3.</w:t>
            </w:r>
            <w:r>
              <w:rPr>
                <w:lang w:eastAsia="ja-JP"/>
              </w:rPr>
              <w:tab/>
            </w:r>
            <w:r>
              <w:rPr>
                <w:lang w:eastAsia="ja-JP"/>
              </w:rPr>
              <w:t xml:space="preserve">In NTN RACH-less handover, network indicates (implicitly or explicitly) whether </w:t>
            </w:r>
            <w:r>
              <w:rPr>
                <w:highlight w:val="yellow"/>
                <w:lang w:eastAsia="ja-JP"/>
              </w:rPr>
              <w:t>NTA in the target cell is identical to the source cell or explicitly provided by the NW</w:t>
            </w:r>
            <w:r>
              <w:rPr>
                <w:lang w:eastAsia="ja-JP"/>
              </w:rPr>
              <w:t>.</w:t>
            </w:r>
          </w:p>
          <w:p>
            <w:pPr>
              <w:rPr>
                <w:rFonts w:hint="eastAsia" w:eastAsia="宋体"/>
                <w:highlight w:val="none"/>
                <w:vertAlign w:val="baseline"/>
                <w:lang w:val="en-US" w:eastAsia="zh-CN"/>
              </w:rPr>
            </w:pPr>
            <w:r>
              <w:rPr>
                <w:lang w:eastAsia="ja-JP"/>
              </w:rPr>
              <w:t>4.</w:t>
            </w:r>
            <w:r>
              <w:rPr>
                <w:lang w:eastAsia="ja-JP"/>
              </w:rPr>
              <w:tab/>
            </w:r>
            <w:r>
              <w:rPr>
                <w:lang w:eastAsia="ja-JP"/>
              </w:rPr>
              <w:t xml:space="preserve">Support </w:t>
            </w:r>
            <w:r>
              <w:rPr>
                <w:highlight w:val="yellow"/>
                <w:lang w:eastAsia="ja-JP"/>
              </w:rPr>
              <w:t>dynamic grant</w:t>
            </w:r>
            <w:r>
              <w:rPr>
                <w:lang w:eastAsia="ja-JP"/>
              </w:rPr>
              <w:t xml:space="preserve"> from the target cell for RACH-less PUSCH transmission to reduce random access congestion in the target cell. FFS whether to limit the solution to same feeder link/gateway scenario</w:t>
            </w:r>
            <w:r>
              <w:rPr>
                <w:rFonts w:hint="eastAsia"/>
                <w:lang w:val="en-US" w:eastAsia="zh-CN"/>
              </w:rPr>
              <w:t>.</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宋体"/>
          <w:highlight w:val="none"/>
          <w:lang w:val="en-US" w:eastAsia="zh-CN"/>
        </w:rPr>
      </w:pPr>
      <w:r>
        <w:rPr>
          <w:rFonts w:hint="eastAsia"/>
          <w:highlight w:val="none"/>
          <w:lang w:val="en-US" w:eastAsia="zh-CN"/>
        </w:rPr>
        <w:t xml:space="preserve">In order to avoid duplication effort, it is suggested that the RACH-less HO discussion in mobile IAB WI focus on the mobile IAB specific issues. To be specific, </w:t>
      </w:r>
      <w:r>
        <w:rPr>
          <w:rFonts w:hint="eastAsia"/>
          <w:lang w:val="en-US" w:eastAsia="zh-CN"/>
        </w:rPr>
        <w:t xml:space="preserve">if the UE serving by mobile IAB cell performs HO due to donor CU change and or PCI/frequency change, the UE may utilize the RACH-less HO. In addition to the dynamic grant, the pre-allocated grant may be allocated by target cell via the HO command to UEs for the transmission of </w:t>
      </w:r>
      <w:r>
        <w:rPr>
          <w:i/>
          <w:highlight w:val="none"/>
        </w:rPr>
        <w:t>RRCConnectionReconfigurationComplete</w:t>
      </w:r>
      <w:r>
        <w:rPr>
          <w:highlight w:val="none"/>
        </w:rPr>
        <w:t xml:space="preserve"> messag</w:t>
      </w:r>
      <w:r>
        <w:rPr>
          <w:rFonts w:hint="eastAsia"/>
          <w:lang w:val="en-US" w:eastAsia="zh-CN"/>
        </w:rPr>
        <w:t xml:space="preserve"> to target cell. With regard to the </w:t>
      </w:r>
      <w:r>
        <w:rPr>
          <w:rFonts w:hint="eastAsia"/>
          <w:highlight w:val="none"/>
          <w:lang w:val="en-US" w:eastAsia="zh-CN"/>
        </w:rPr>
        <w:t>TA</w:t>
      </w:r>
      <w:r>
        <w:rPr>
          <w:highlight w:val="none"/>
        </w:rPr>
        <w:t xml:space="preserve"> </w:t>
      </w:r>
      <w:r>
        <w:rPr>
          <w:rFonts w:hint="eastAsia"/>
          <w:highlight w:val="none"/>
          <w:lang w:val="en-US" w:eastAsia="zh-CN"/>
        </w:rPr>
        <w:t xml:space="preserve">in the target mobile IAB cell, it may also be delivered to the UEs via RRC message during HO.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cs="Times New Roman"/>
          <w:b/>
          <w:bCs/>
          <w:lang w:val="en-US" w:eastAsia="zh-CN"/>
        </w:rPr>
      </w:pPr>
      <w:r>
        <w:rPr>
          <w:rFonts w:hint="eastAsia"/>
          <w:b/>
          <w:bCs/>
          <w:highlight w:val="none"/>
          <w:lang w:val="en-US" w:eastAsia="zh-CN"/>
        </w:rPr>
        <w:t xml:space="preserve">Observation 2: </w:t>
      </w:r>
      <w:r>
        <w:rPr>
          <w:rFonts w:hint="default" w:ascii="Times New Roman" w:hAnsi="Times New Roman" w:cs="Times New Roman"/>
          <w:b/>
          <w:bCs/>
        </w:rPr>
        <w:t>Rel-18 NR NTN</w:t>
      </w:r>
      <w:r>
        <w:rPr>
          <w:rFonts w:hint="default" w:ascii="Times New Roman" w:hAnsi="Times New Roman" w:cs="Times New Roman"/>
          <w:b/>
          <w:bCs/>
          <w:lang w:val="en-US" w:eastAsia="zh-CN"/>
        </w:rPr>
        <w:t xml:space="preserve"> WI</w:t>
      </w:r>
      <w:r>
        <w:rPr>
          <w:rFonts w:hint="eastAsia" w:cs="Times New Roman"/>
          <w:b/>
          <w:bCs/>
          <w:lang w:val="en-US" w:eastAsia="zh-CN"/>
        </w:rPr>
        <w:t xml:space="preserve"> has already agreed to support RACH-less handover in Rel-18.</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val="0"/>
          <w:bCs w:val="0"/>
          <w:lang w:val="en-US" w:eastAsia="zh-CN"/>
        </w:rPr>
      </w:pPr>
      <w:r>
        <w:rPr>
          <w:rFonts w:hint="eastAsia" w:cs="Times New Roman"/>
          <w:b/>
          <w:bCs/>
          <w:lang w:val="en-US" w:eastAsia="zh-CN"/>
        </w:rPr>
        <w:t xml:space="preserve">Proposal 2: It is suggested for Rel-18 mobile IAB WI to reuse the RACH-less handover design of </w:t>
      </w:r>
      <w:r>
        <w:rPr>
          <w:rFonts w:hint="default" w:ascii="Times New Roman" w:hAnsi="Times New Roman" w:cs="Times New Roman"/>
          <w:b/>
          <w:bCs/>
        </w:rPr>
        <w:t>Rel-18 NR NTN</w:t>
      </w:r>
      <w:r>
        <w:rPr>
          <w:rFonts w:hint="default" w:ascii="Times New Roman" w:hAnsi="Times New Roman" w:cs="Times New Roman"/>
          <w:b/>
          <w:bCs/>
          <w:lang w:val="en-US" w:eastAsia="zh-CN"/>
        </w:rPr>
        <w:t xml:space="preserve"> WI</w:t>
      </w:r>
      <w:r>
        <w:rPr>
          <w:rFonts w:hint="eastAsia" w:cs="Times New Roman"/>
          <w:b/>
          <w:bCs/>
          <w:lang w:val="en-US" w:eastAsia="zh-CN"/>
        </w:rPr>
        <w:t xml:space="preserve"> to reduce duplicated effort. FFS for mobile IAB specific issues for RACH-less HO. </w:t>
      </w:r>
    </w:p>
    <w:p>
      <w:pPr>
        <w:pStyle w:val="3"/>
        <w:bidi w:val="0"/>
        <w:rPr>
          <w:rFonts w:hint="eastAsia"/>
          <w:lang w:val="en-US" w:eastAsia="zh-CN"/>
        </w:rPr>
      </w:pPr>
      <w:r>
        <w:rPr>
          <w:rFonts w:hint="eastAsia"/>
          <w:lang w:val="en-US" w:eastAsia="zh-CN"/>
        </w:rPr>
        <w:t>CHO</w:t>
      </w:r>
    </w:p>
    <w:p>
      <w:pPr>
        <w:jc w:val="both"/>
        <w:rPr>
          <w:rFonts w:hint="eastAsia"/>
          <w:lang w:val="en-US" w:eastAsia="zh-CN"/>
        </w:rPr>
      </w:pPr>
      <w:r>
        <w:rPr>
          <w:rFonts w:hint="eastAsia"/>
          <w:lang w:val="en-US" w:eastAsia="zh-CN"/>
        </w:rPr>
        <w:t xml:space="preserve">During RAN2#119e meeting, the group mobility of UEs served by the mobile IAB node was discussed and it was agreed that </w:t>
      </w:r>
      <w:r>
        <w:t xml:space="preserve">R2 assumes that </w:t>
      </w:r>
      <w:r>
        <w:rPr>
          <w:color w:val="auto"/>
        </w:rPr>
        <w:t>CHO or delayed RRC config could be the baseline for group mobility (FFS if could be applicable for mobility of IAB MT), i.e</w:t>
      </w:r>
      <w:r>
        <w:t xml:space="preserve">. with a preparation in advance (not immediately) of the execution. </w:t>
      </w:r>
      <w:r>
        <w:rPr>
          <w:rFonts w:hint="eastAsia"/>
          <w:lang w:val="en-US" w:eastAsia="zh-CN"/>
        </w:rPr>
        <w:t xml:space="preserve">In this section, we discuss how CHO or delayed RRC config could be used for group mobility. </w:t>
      </w:r>
    </w:p>
    <w:p>
      <w:pPr>
        <w:bidi w:val="0"/>
        <w:jc w:val="both"/>
        <w:rPr>
          <w:rFonts w:hint="eastAsia"/>
          <w:b w:val="0"/>
          <w:bCs w:val="0"/>
          <w:lang w:val="en-US" w:eastAsia="zh-CN"/>
        </w:rPr>
      </w:pPr>
      <w:r>
        <w:rPr>
          <w:rFonts w:hint="eastAsia"/>
          <w:lang w:val="en-US" w:eastAsia="zh-CN"/>
        </w:rPr>
        <w:t xml:space="preserve">As we know, </w:t>
      </w:r>
      <w:r>
        <w:rPr>
          <w:rFonts w:hint="eastAsia" w:cs="Times New Roman"/>
          <w:lang w:val="en-US" w:eastAsia="zh-CN"/>
        </w:rPr>
        <w:t xml:space="preserve">CHO is only useful for full migration with the migration sequence of mobile IAB-DU migration first, then mobile IAB-MT migration and finally on-board UE migration scenario. To be specific, </w:t>
      </w:r>
      <w:r>
        <w:rPr>
          <w:rFonts w:hint="eastAsia"/>
          <w:lang w:val="en-US" w:eastAsia="zh-CN"/>
        </w:rPr>
        <w:t xml:space="preserve">for CHO or delayed RRC configure, the HO command message for the UEs is transferred via the source path before MT migration . If we follow legacy UE handover procedure, the target CU needs to have F1 connection with the target DU before sending XnAP handover request ACK message to the source CU. In other words, F1 connection between the target logical DU and the target donor needs to be established before MT migration. That means DU migration is performed before MT migration. However, RAN3 has no conclusion on whether DU migration before MT migration is </w:t>
      </w:r>
      <w:r>
        <w:rPr>
          <w:rFonts w:hint="eastAsia"/>
          <w:b w:val="0"/>
          <w:bCs w:val="0"/>
          <w:lang w:val="en-US" w:eastAsia="zh-CN"/>
        </w:rPr>
        <w:t xml:space="preserve">to be supported in R18 yet. So the scenario and benefit of supporting CHO or delayed RRC configuration needs to be clarified first. </w:t>
      </w:r>
    </w:p>
    <w:p>
      <w:pPr>
        <w:jc w:val="both"/>
        <w:rPr>
          <w:rFonts w:hint="eastAsia"/>
          <w:b w:val="0"/>
          <w:bCs w:val="0"/>
          <w:lang w:val="en-US" w:eastAsia="zh-CN"/>
        </w:rPr>
      </w:pPr>
      <w:r>
        <w:rPr>
          <w:rFonts w:hint="eastAsia"/>
          <w:b/>
          <w:bCs/>
          <w:lang w:val="en-US" w:eastAsia="zh-CN"/>
        </w:rPr>
        <w:t xml:space="preserve">Observation 3: </w:t>
      </w:r>
      <w:r>
        <w:rPr>
          <w:rFonts w:hint="eastAsia" w:cs="Times New Roman"/>
          <w:b/>
          <w:bCs/>
          <w:lang w:val="en-US" w:eastAsia="zh-CN"/>
        </w:rPr>
        <w:t>CHO is only useful for full migration with the migration sequence of mobile IAB-DU migration first, then mobile IAB-MT migration and finally on-board UE migration scenario.  The CHO command may be delivered to UE after the mobile IAB-DU migration and before the mobile IAB-MT migration.</w:t>
      </w:r>
    </w:p>
    <w:p>
      <w:pPr>
        <w:bidi w:val="0"/>
        <w:jc w:val="both"/>
        <w:rPr>
          <w:rFonts w:hint="default"/>
          <w:b/>
          <w:bCs/>
          <w:lang w:val="en-US" w:eastAsia="zh-CN"/>
        </w:rPr>
      </w:pPr>
      <w:r>
        <w:rPr>
          <w:rFonts w:hint="eastAsia"/>
          <w:b/>
          <w:bCs/>
          <w:lang w:val="en-US" w:eastAsia="zh-CN"/>
        </w:rPr>
        <w:t>Proposal 3: The discussion of supporting CHO or delayed RRC configuration in RAN2 could be postponed and wait for RAN3 progress considering that RAN3 has no conclusion on whether DU migration before MT migration is to be supported in R18 yet.</w:t>
      </w:r>
    </w:p>
    <w:p>
      <w:pPr>
        <w:jc w:val="both"/>
        <w:rPr>
          <w:rFonts w:hint="eastAsia"/>
          <w:lang w:val="en-US" w:eastAsia="zh-CN"/>
        </w:rPr>
      </w:pPr>
      <w:r>
        <w:rPr>
          <w:rFonts w:hint="eastAsia"/>
          <w:lang w:val="en-US" w:eastAsia="zh-CN"/>
        </w:rPr>
        <w:t xml:space="preserve">On the other hand, if RAN2 decides to discuss CHO, we may have some preliminary analysis on this. During IAB node migration, if following legacy handover procedure, the source donor CU needs to send RRCReconfiguration messages to all served UEs individually, which will spend a lot of time. By using CHO mechanism, the  RRCreconfiguration messages including conditional configurations can be sent to served UEs in advance. And then when the </w:t>
      </w:r>
      <w:r>
        <w:rPr>
          <w:rFonts w:eastAsia="宋体"/>
          <w:lang w:eastAsia="zh-CN"/>
        </w:rPr>
        <w:t>handover execution</w:t>
      </w:r>
      <w:r>
        <w:rPr>
          <w:rFonts w:hint="eastAsia"/>
          <w:lang w:val="en-US" w:eastAsia="zh-CN"/>
        </w:rPr>
        <w:t xml:space="preserve"> condition is met, the UEs execute the conditional handover procedure automatically. In legacy CHO mechanism, </w:t>
      </w:r>
      <w:r>
        <w:t>CHO events A3</w:t>
      </w:r>
      <w:r>
        <w:rPr>
          <w:rFonts w:hint="eastAsia"/>
          <w:lang w:val="en-US" w:eastAsia="zh-CN"/>
        </w:rPr>
        <w:t xml:space="preserve"> (Neighbour becomes offset better than SpCell)</w:t>
      </w:r>
      <w:r>
        <w:t>/A5</w:t>
      </w:r>
      <w:r>
        <w:rPr>
          <w:rFonts w:hint="eastAsia"/>
        </w:rPr>
        <w:t>(SpCell becomes worse than threshold1 and neighbour becomes</w:t>
      </w:r>
      <w:r>
        <w:rPr>
          <w:rFonts w:hint="eastAsia"/>
          <w:lang w:val="en-US" w:eastAsia="zh-CN"/>
        </w:rPr>
        <w:t xml:space="preserve"> </w:t>
      </w:r>
      <w:r>
        <w:rPr>
          <w:rFonts w:hint="eastAsia"/>
        </w:rPr>
        <w:t>better than threshold2)</w:t>
      </w:r>
      <w:r>
        <w:rPr>
          <w:rFonts w:hint="eastAsia"/>
          <w:lang w:val="en-US" w:eastAsia="zh-CN"/>
        </w:rPr>
        <w:t xml:space="preserve"> are used for triggering a conditional handover procedure. However, in mobile IAB scenario, the UEs are relatively stationary to the mobile IAB node. That means the radio link quality of UE</w:t>
      </w:r>
      <w:r>
        <w:rPr>
          <w:rFonts w:hint="default"/>
          <w:lang w:val="en-US" w:eastAsia="zh-CN"/>
        </w:rPr>
        <w:t>’</w:t>
      </w:r>
      <w:r>
        <w:rPr>
          <w:rFonts w:hint="eastAsia"/>
          <w:lang w:val="en-US" w:eastAsia="zh-CN"/>
        </w:rPr>
        <w:t xml:space="preserve">s serving cell will not deteriorate. Therefore legacy triggering condition for CHO is not applicable for UEs served by mobile IAB scenario. </w:t>
      </w:r>
    </w:p>
    <w:p>
      <w:pPr>
        <w:jc w:val="both"/>
        <w:rPr>
          <w:rFonts w:hint="default" w:eastAsia="宋体"/>
          <w:lang w:val="en-US" w:eastAsia="zh-CN"/>
        </w:rPr>
      </w:pPr>
      <w:r>
        <w:rPr>
          <w:rFonts w:hint="eastAsia"/>
          <w:lang w:val="en-US" w:eastAsia="zh-CN"/>
        </w:rPr>
        <w:t xml:space="preserve">On the other hand, some companies suggest to reuse the time-based CHO execution condition for UE served by mobile IAB cells. Actually, </w:t>
      </w:r>
      <w:r>
        <w:rPr>
          <w:rFonts w:hint="default" w:ascii="Times New Roman" w:hAnsi="Times New Roman" w:cs="Times New Roman"/>
          <w:lang w:eastAsia="ko-KR"/>
        </w:rPr>
        <w:t xml:space="preserve">time-based CHO condition is </w:t>
      </w:r>
      <w:r>
        <w:rPr>
          <w:rFonts w:hint="eastAsia" w:cs="Times New Roman"/>
          <w:lang w:val="en-US" w:eastAsia="zh-CN"/>
        </w:rPr>
        <w:t xml:space="preserve">now </w:t>
      </w:r>
      <w:r>
        <w:rPr>
          <w:rFonts w:hint="default" w:ascii="Times New Roman" w:hAnsi="Times New Roman" w:cs="Times New Roman"/>
          <w:lang w:eastAsia="ko-KR"/>
        </w:rPr>
        <w:t>supported in NTN, where CondT1 can be configured to control time window [T1, T2] in which CHO execution is allowed.</w:t>
      </w:r>
      <w:r>
        <w:rPr>
          <w:rFonts w:hint="eastAsia" w:cs="Times New Roman"/>
          <w:lang w:val="en-US" w:eastAsia="zh-CN"/>
        </w:rPr>
        <w:t xml:space="preserve"> However, CHO is only useful for full migration with the migration sequence of mobile IAB-DU migration first, then mobile IAB-MT migration and finally on-board UE migration scenario. It should be noted CHO command is usually received by on-board UE after mobile IAB-DU migration and before mobile IAB-MT migration while the CHO execution of on-board UE is usually triggered after the completion the mobile IAB-MT</w:t>
      </w:r>
      <w:r>
        <w:rPr>
          <w:rFonts w:hint="default" w:cs="Times New Roman"/>
          <w:lang w:val="en-US" w:eastAsia="zh-CN"/>
        </w:rPr>
        <w:t>’</w:t>
      </w:r>
      <w:r>
        <w:rPr>
          <w:rFonts w:hint="eastAsia" w:cs="Times New Roman"/>
          <w:lang w:val="en-US" w:eastAsia="zh-CN"/>
        </w:rPr>
        <w:t>s migration. Suppose the mobile IAB-MT</w:t>
      </w:r>
      <w:r>
        <w:rPr>
          <w:rFonts w:hint="default" w:cs="Times New Roman"/>
          <w:lang w:val="en-US" w:eastAsia="zh-CN"/>
        </w:rPr>
        <w:t>’</w:t>
      </w:r>
      <w:r>
        <w:rPr>
          <w:rFonts w:hint="eastAsia" w:cs="Times New Roman"/>
          <w:lang w:val="en-US" w:eastAsia="zh-CN"/>
        </w:rPr>
        <w:t>smigration fails while the UE already receive the CHO configuration with time condition, it may cause the the on-board UE to perform HO unnecessarily.</w:t>
      </w:r>
    </w:p>
    <w:p>
      <w:pPr>
        <w:jc w:val="both"/>
        <w:rPr>
          <w:rFonts w:hint="eastAsia"/>
          <w:lang w:val="en-US" w:eastAsia="zh-CN"/>
        </w:rPr>
      </w:pPr>
      <w:r>
        <w:rPr>
          <w:rFonts w:hint="eastAsia"/>
          <w:lang w:val="en-US" w:eastAsia="zh-CN"/>
        </w:rPr>
        <w:t xml:space="preserve">In order to solve the aforementioned problem, new triggering condition for CHO could be defined, e.g., when the neighbour cell which is a </w:t>
      </w:r>
      <w:r>
        <w:rPr>
          <w:lang w:eastAsia="ko-KR"/>
        </w:rPr>
        <w:t>CHO candidate cell</w:t>
      </w:r>
      <w:r>
        <w:rPr>
          <w:rFonts w:hint="eastAsia"/>
          <w:lang w:val="en-US" w:eastAsia="zh-CN"/>
        </w:rPr>
        <w:t xml:space="preserve"> becomes better than a threshold. Alternatively, a triggering indication for the execution of CHO at the R18 UEs could be sent by the donor/mobile IAB node after the mobile IAB-DU</w:t>
      </w:r>
      <w:r>
        <w:rPr>
          <w:rFonts w:hint="default"/>
          <w:lang w:val="en-US" w:eastAsia="zh-CN"/>
        </w:rPr>
        <w:t>’</w:t>
      </w:r>
      <w:r>
        <w:rPr>
          <w:rFonts w:hint="eastAsia"/>
          <w:lang w:val="en-US" w:eastAsia="zh-CN"/>
        </w:rPr>
        <w:t xml:space="preserve">s migration completes. To reduce signaling overhead and service interruption, the triggering indication could be sent via group signaling, e.g. via system information. </w:t>
      </w:r>
    </w:p>
    <w:p>
      <w:pPr>
        <w:jc w:val="both"/>
        <w:rPr>
          <w:rFonts w:hint="eastAsia"/>
          <w:b/>
          <w:bCs/>
          <w:highlight w:val="none"/>
          <w:lang w:val="en-US" w:eastAsia="zh-CN"/>
        </w:rPr>
      </w:pPr>
      <w:r>
        <w:rPr>
          <w:rFonts w:hint="eastAsia"/>
          <w:b/>
          <w:bCs/>
          <w:lang w:val="en-US" w:eastAsia="zh-CN"/>
        </w:rPr>
        <w:t>Proposal 4: If RAN2 decides to support CHO, new triggering condition for CHO (e.g., neighbour CHO candidate cell becomes better than a threshold) could be defined or a triggering indication could be sent by the donor/mobile IAB node to the Rel-18 UEs to trigger the execution of CHO</w:t>
      </w:r>
      <w:r>
        <w:rPr>
          <w:rFonts w:hint="eastAsia"/>
          <w:b/>
          <w:bCs/>
          <w:highlight w:val="none"/>
          <w:lang w:val="en-US" w:eastAsia="zh-CN"/>
        </w:rPr>
        <w:t>.</w:t>
      </w:r>
    </w:p>
    <w:bookmarkEnd w:id="0"/>
    <w:p>
      <w:pPr>
        <w:pStyle w:val="2"/>
        <w:jc w:val="both"/>
        <w:rPr>
          <w:rFonts w:eastAsia="宋体"/>
          <w:lang w:eastAsia="zh-CN"/>
        </w:rPr>
      </w:pPr>
      <w:bookmarkStart w:id="1" w:name="OLE_LINK2"/>
      <w:bookmarkStart w:id="2" w:name="OLE_LINK1"/>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focus on the remaining issues for mobile IAB and present our point of view</w:t>
      </w:r>
      <w:r>
        <w:rPr>
          <w:rFonts w:hint="default" w:ascii="Times New Roman" w:hAnsi="Times New Roman" w:cs="Times New Roman"/>
          <w:lang w:val="en-US" w:eastAsia="zh-CN"/>
        </w:rPr>
        <w:t>.</w:t>
      </w:r>
      <w:r>
        <w:rPr>
          <w:rFonts w:hint="eastAsia" w:cs="Times New Roman"/>
          <w:lang w:val="en-US" w:eastAsia="zh-CN"/>
        </w:rPr>
        <w:t xml:space="preserve"> The following proposals are given:</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b/>
          <w:bCs/>
          <w:lang w:val="en-US" w:eastAsia="zh-CN"/>
        </w:rPr>
      </w:pPr>
      <w:r>
        <w:rPr>
          <w:rFonts w:hint="eastAsia" w:ascii="Times New Roman" w:hAnsi="Times New Roman" w:eastAsia="Batang" w:cs="Times New Roman"/>
          <w:b/>
          <w:bCs/>
          <w:lang w:val="en-US" w:eastAsia="zh-CN"/>
        </w:rPr>
        <w:t xml:space="preserve">Observation 1: SA2 has agreed that MBSR node provide the mobile IAB-indication to the IAB-donor-CU when the RRC connection is established. Upon receiving the </w:t>
      </w:r>
      <w:r>
        <w:rPr>
          <w:b/>
          <w:bCs/>
        </w:rPr>
        <w:t>mobile IAB-indication</w:t>
      </w:r>
      <w:r>
        <w:rPr>
          <w:rFonts w:hint="eastAsia"/>
          <w:b/>
          <w:bCs/>
          <w:lang w:val="en-US" w:eastAsia="zh-CN"/>
        </w:rPr>
        <w:t>, the IAB-donor-CU selects an AMF that supports IAB-node with mobility.</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cs="Times New Roman"/>
          <w:b/>
          <w:bCs/>
          <w:lang w:val="en-US" w:eastAsia="zh-CN"/>
        </w:rPr>
      </w:pPr>
      <w:r>
        <w:rPr>
          <w:rFonts w:hint="eastAsia"/>
          <w:b/>
          <w:bCs/>
          <w:highlight w:val="none"/>
          <w:lang w:val="en-US" w:eastAsia="zh-CN"/>
        </w:rPr>
        <w:t xml:space="preserve">Observation 2: </w:t>
      </w:r>
      <w:r>
        <w:rPr>
          <w:rFonts w:hint="default" w:ascii="Times New Roman" w:hAnsi="Times New Roman" w:cs="Times New Roman"/>
          <w:b/>
          <w:bCs/>
        </w:rPr>
        <w:t>Rel-18 NR NTN</w:t>
      </w:r>
      <w:r>
        <w:rPr>
          <w:rFonts w:hint="default" w:ascii="Times New Roman" w:hAnsi="Times New Roman" w:cs="Times New Roman"/>
          <w:b/>
          <w:bCs/>
          <w:lang w:val="en-US" w:eastAsia="zh-CN"/>
        </w:rPr>
        <w:t xml:space="preserve"> WI</w:t>
      </w:r>
      <w:r>
        <w:rPr>
          <w:rFonts w:hint="eastAsia" w:cs="Times New Roman"/>
          <w:b/>
          <w:bCs/>
          <w:lang w:val="en-US" w:eastAsia="zh-CN"/>
        </w:rPr>
        <w:t xml:space="preserve"> has already agreed to support RACH-less handover in Rel-18.</w:t>
      </w:r>
    </w:p>
    <w:p>
      <w:pPr>
        <w:jc w:val="both"/>
        <w:rPr>
          <w:rFonts w:hint="eastAsia"/>
          <w:b w:val="0"/>
          <w:bCs w:val="0"/>
          <w:lang w:val="en-US" w:eastAsia="zh-CN"/>
        </w:rPr>
      </w:pPr>
      <w:r>
        <w:rPr>
          <w:rFonts w:hint="eastAsia"/>
          <w:b/>
          <w:bCs/>
          <w:lang w:val="en-US" w:eastAsia="zh-CN"/>
        </w:rPr>
        <w:t xml:space="preserve">Observation 3: </w:t>
      </w:r>
      <w:r>
        <w:rPr>
          <w:rFonts w:hint="eastAsia" w:cs="Times New Roman"/>
          <w:b/>
          <w:bCs/>
          <w:lang w:val="en-US" w:eastAsia="zh-CN"/>
        </w:rPr>
        <w:t>CHO is only useful for full migration with the migration sequence of mobile IAB-DU migration first, then mobile IAB-MT migration and finally on-board UE migration scenario.  The CHO command may be delivered to UE after the mobile IAB-DU migration and before the mobile IAB-MT migration.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cs="Times New Roman"/>
          <w:b/>
          <w:bCs/>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default"/>
          <w:b/>
          <w:bCs/>
          <w:highlight w:val="none"/>
          <w:lang w:val="en-US" w:eastAsia="zh-CN"/>
        </w:rPr>
      </w:pPr>
      <w:r>
        <w:rPr>
          <w:rFonts w:hint="eastAsia"/>
          <w:b/>
          <w:bCs/>
          <w:highlight w:val="none"/>
          <w:lang w:val="en-US" w:eastAsia="zh-CN"/>
        </w:rPr>
        <w:t xml:space="preserve">Proposal 1: Mobile IAB-MT sends the mobile IAB-indication via the RRCSetupComplete message to IAB-donor-CU.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cs="Times New Roman"/>
          <w:b/>
          <w:bCs/>
          <w:lang w:val="en-US" w:eastAsia="zh-CN"/>
        </w:rPr>
      </w:pPr>
      <w:r>
        <w:rPr>
          <w:rFonts w:hint="eastAsia" w:cs="Times New Roman"/>
          <w:b/>
          <w:bCs/>
          <w:lang w:val="en-US" w:eastAsia="zh-CN"/>
        </w:rPr>
        <w:t xml:space="preserve">Proposal 2: It is suggested for Rel-18 mobile IAB WI to reuse the RACH-less handover design of </w:t>
      </w:r>
      <w:r>
        <w:rPr>
          <w:rFonts w:hint="default" w:ascii="Times New Roman" w:hAnsi="Times New Roman" w:cs="Times New Roman"/>
          <w:b/>
          <w:bCs/>
        </w:rPr>
        <w:t>Rel-18 NR NTN</w:t>
      </w:r>
      <w:r>
        <w:rPr>
          <w:rFonts w:hint="default" w:ascii="Times New Roman" w:hAnsi="Times New Roman" w:cs="Times New Roman"/>
          <w:b/>
          <w:bCs/>
          <w:lang w:val="en-US" w:eastAsia="zh-CN"/>
        </w:rPr>
        <w:t xml:space="preserve"> WI</w:t>
      </w:r>
      <w:r>
        <w:rPr>
          <w:rFonts w:hint="eastAsia" w:cs="Times New Roman"/>
          <w:b/>
          <w:bCs/>
          <w:lang w:val="en-US" w:eastAsia="zh-CN"/>
        </w:rPr>
        <w:t xml:space="preserve"> to reduce duplicated effort. FFS for mobile IAB specific issues for RACH-less HO. </w:t>
      </w:r>
    </w:p>
    <w:p>
      <w:pPr>
        <w:bidi w:val="0"/>
        <w:jc w:val="both"/>
        <w:rPr>
          <w:rFonts w:hint="default"/>
          <w:b/>
          <w:bCs/>
          <w:lang w:val="en-US" w:eastAsia="zh-CN"/>
        </w:rPr>
      </w:pPr>
      <w:r>
        <w:rPr>
          <w:rFonts w:hint="eastAsia"/>
          <w:b/>
          <w:bCs/>
          <w:lang w:val="en-US" w:eastAsia="zh-CN"/>
        </w:rPr>
        <w:t>Proposal 3: The discussion of supporting CHO or delayed RRC configuration in RAN2 could be postponed and wait for RAN3 progress considering that RAN3 has no conclusion on whether DU migration before MT migration is to be supported in R18 yet.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lang w:val="en-US" w:eastAsia="zh-CN"/>
        </w:rPr>
      </w:pPr>
      <w:r>
        <w:rPr>
          <w:rFonts w:hint="eastAsia"/>
          <w:b/>
          <w:bCs/>
          <w:lang w:val="en-US" w:eastAsia="zh-CN"/>
        </w:rPr>
        <w:t>Proposal 4: If RAN2 decides to support CHO, new triggering condition for CHO (e.g., neighbour CHO candidate cell becomes better than a threshold) could be defined or a triggering indication could be sent by the donor/mobile IAB node to the Rel-18 UEs to trigger the execution of CHO.</w:t>
      </w:r>
    </w:p>
    <w:p>
      <w:pPr>
        <w:pStyle w:val="2"/>
        <w:rPr>
          <w:rFonts w:eastAsia="宋体"/>
          <w:lang w:eastAsia="zh-CN"/>
        </w:rPr>
      </w:pPr>
      <w:r>
        <w:rPr>
          <w:rFonts w:hint="eastAsia" w:eastAsia="宋体"/>
          <w:lang w:eastAsia="zh-CN"/>
        </w:rPr>
        <w:t>Reference</w:t>
      </w:r>
    </w:p>
    <w:p>
      <w:pPr>
        <w:numPr>
          <w:ilvl w:val="0"/>
          <w:numId w:val="13"/>
        </w:numPr>
        <w:rPr>
          <w:rFonts w:hint="default"/>
          <w:lang w:val="en-US" w:eastAsia="zh-CN"/>
        </w:rPr>
      </w:pPr>
      <w:r>
        <w:rPr>
          <w:rFonts w:hint="eastAsia"/>
          <w:sz w:val="20"/>
          <w:szCs w:val="20"/>
          <w:lang w:val="en-US" w:eastAsia="zh-CN"/>
        </w:rPr>
        <w:t>RAN2#119bis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9E6"/>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44F"/>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B0E0D"/>
    <w:rsid w:val="02D8526C"/>
    <w:rsid w:val="02EB38B9"/>
    <w:rsid w:val="02EE0E74"/>
    <w:rsid w:val="02F00BEE"/>
    <w:rsid w:val="02F22456"/>
    <w:rsid w:val="030026D0"/>
    <w:rsid w:val="0300644B"/>
    <w:rsid w:val="03024BFE"/>
    <w:rsid w:val="03045E57"/>
    <w:rsid w:val="03125D81"/>
    <w:rsid w:val="0335007C"/>
    <w:rsid w:val="03393D83"/>
    <w:rsid w:val="033C5EC0"/>
    <w:rsid w:val="033F6B29"/>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D10B5"/>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84DC5"/>
    <w:rsid w:val="064C02D3"/>
    <w:rsid w:val="06525D08"/>
    <w:rsid w:val="066327A9"/>
    <w:rsid w:val="06632969"/>
    <w:rsid w:val="0665774C"/>
    <w:rsid w:val="06667182"/>
    <w:rsid w:val="06911F5C"/>
    <w:rsid w:val="069D7084"/>
    <w:rsid w:val="06A505BC"/>
    <w:rsid w:val="06BE54F4"/>
    <w:rsid w:val="06C97CEE"/>
    <w:rsid w:val="06D250A7"/>
    <w:rsid w:val="06E1106D"/>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94E35"/>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E7DCF"/>
    <w:rsid w:val="096B03FF"/>
    <w:rsid w:val="096F777B"/>
    <w:rsid w:val="098113B0"/>
    <w:rsid w:val="09823672"/>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D01757"/>
    <w:rsid w:val="0AD35BE6"/>
    <w:rsid w:val="0AD4318C"/>
    <w:rsid w:val="0AE277FB"/>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14CF4"/>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31ED2"/>
    <w:rsid w:val="0CE4374C"/>
    <w:rsid w:val="0CF86EA2"/>
    <w:rsid w:val="0D090A9B"/>
    <w:rsid w:val="0D0B3AE7"/>
    <w:rsid w:val="0D1B7692"/>
    <w:rsid w:val="0D1D6B7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46483"/>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2F660E5"/>
    <w:rsid w:val="13080271"/>
    <w:rsid w:val="1311514F"/>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1688E"/>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C1BA5"/>
    <w:rsid w:val="151123EF"/>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5FD0019"/>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1E59B3"/>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A9670E"/>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14C72"/>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DB155F"/>
    <w:rsid w:val="1CE9775C"/>
    <w:rsid w:val="1CEC0815"/>
    <w:rsid w:val="1CF26B79"/>
    <w:rsid w:val="1CF65B26"/>
    <w:rsid w:val="1D03170E"/>
    <w:rsid w:val="1D052A3D"/>
    <w:rsid w:val="1D0B69AF"/>
    <w:rsid w:val="1D172F4E"/>
    <w:rsid w:val="1D195CDB"/>
    <w:rsid w:val="1D2B3138"/>
    <w:rsid w:val="1D2D4DC0"/>
    <w:rsid w:val="1D303738"/>
    <w:rsid w:val="1D363824"/>
    <w:rsid w:val="1D3E20CA"/>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964D08"/>
    <w:rsid w:val="21A61743"/>
    <w:rsid w:val="21AE0533"/>
    <w:rsid w:val="21B5378E"/>
    <w:rsid w:val="21CE6894"/>
    <w:rsid w:val="21D66EB2"/>
    <w:rsid w:val="21D677FD"/>
    <w:rsid w:val="21E359B2"/>
    <w:rsid w:val="21E92D42"/>
    <w:rsid w:val="22011200"/>
    <w:rsid w:val="22067AB1"/>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B7ED9"/>
    <w:rsid w:val="22AF0B03"/>
    <w:rsid w:val="22B3517E"/>
    <w:rsid w:val="22B92420"/>
    <w:rsid w:val="22BA3BAD"/>
    <w:rsid w:val="22C40F57"/>
    <w:rsid w:val="22CC3FBB"/>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A74E4"/>
    <w:rsid w:val="23EC6601"/>
    <w:rsid w:val="23F0420C"/>
    <w:rsid w:val="23F63334"/>
    <w:rsid w:val="240109AF"/>
    <w:rsid w:val="24034507"/>
    <w:rsid w:val="240C5F4F"/>
    <w:rsid w:val="24137C68"/>
    <w:rsid w:val="24155A0F"/>
    <w:rsid w:val="24204B94"/>
    <w:rsid w:val="242D09BB"/>
    <w:rsid w:val="2430254A"/>
    <w:rsid w:val="24353EA7"/>
    <w:rsid w:val="24384E28"/>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36A57"/>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1013C"/>
    <w:rsid w:val="2652203C"/>
    <w:rsid w:val="265459B4"/>
    <w:rsid w:val="265715E2"/>
    <w:rsid w:val="2659571E"/>
    <w:rsid w:val="265E4818"/>
    <w:rsid w:val="265F0495"/>
    <w:rsid w:val="265F59FB"/>
    <w:rsid w:val="266555A1"/>
    <w:rsid w:val="2669016B"/>
    <w:rsid w:val="267366B5"/>
    <w:rsid w:val="267A50E3"/>
    <w:rsid w:val="26A61A31"/>
    <w:rsid w:val="26A979B6"/>
    <w:rsid w:val="26AE5365"/>
    <w:rsid w:val="26B01E3E"/>
    <w:rsid w:val="26B506F6"/>
    <w:rsid w:val="26CB4EC9"/>
    <w:rsid w:val="26CC4EED"/>
    <w:rsid w:val="26D45812"/>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52D50"/>
    <w:rsid w:val="28986FCD"/>
    <w:rsid w:val="289A575F"/>
    <w:rsid w:val="28A23326"/>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8441B"/>
    <w:rsid w:val="29FB6C1A"/>
    <w:rsid w:val="29FD37E2"/>
    <w:rsid w:val="2A040F28"/>
    <w:rsid w:val="2A053652"/>
    <w:rsid w:val="2A067415"/>
    <w:rsid w:val="2A0800E5"/>
    <w:rsid w:val="2A0A2044"/>
    <w:rsid w:val="2A0F4C0F"/>
    <w:rsid w:val="2A11085A"/>
    <w:rsid w:val="2A1A3866"/>
    <w:rsid w:val="2A1E00C4"/>
    <w:rsid w:val="2A212DCF"/>
    <w:rsid w:val="2A266B79"/>
    <w:rsid w:val="2A2D10E2"/>
    <w:rsid w:val="2A3B3B5D"/>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B43CB1"/>
    <w:rsid w:val="2CD23532"/>
    <w:rsid w:val="2CE074B2"/>
    <w:rsid w:val="2CEC6471"/>
    <w:rsid w:val="2CEF1368"/>
    <w:rsid w:val="2D0C15E0"/>
    <w:rsid w:val="2D1E7CD5"/>
    <w:rsid w:val="2D1F4905"/>
    <w:rsid w:val="2D2140D4"/>
    <w:rsid w:val="2D2519AA"/>
    <w:rsid w:val="2D2C4AF5"/>
    <w:rsid w:val="2D3523C5"/>
    <w:rsid w:val="2D3D77C2"/>
    <w:rsid w:val="2D4957EB"/>
    <w:rsid w:val="2D4F527C"/>
    <w:rsid w:val="2D5233D5"/>
    <w:rsid w:val="2D64342C"/>
    <w:rsid w:val="2D644C4A"/>
    <w:rsid w:val="2D810A54"/>
    <w:rsid w:val="2D880A3C"/>
    <w:rsid w:val="2D914D1C"/>
    <w:rsid w:val="2DA17515"/>
    <w:rsid w:val="2DA64F75"/>
    <w:rsid w:val="2DAE5715"/>
    <w:rsid w:val="2DCE3801"/>
    <w:rsid w:val="2DD913D0"/>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3B43"/>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13710"/>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9C0C84"/>
    <w:rsid w:val="37AC5A8E"/>
    <w:rsid w:val="37B62A54"/>
    <w:rsid w:val="37B936C4"/>
    <w:rsid w:val="37BA6B56"/>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53B9D"/>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6515EC"/>
    <w:rsid w:val="3D757BFC"/>
    <w:rsid w:val="3D78217F"/>
    <w:rsid w:val="3D7B110C"/>
    <w:rsid w:val="3D7B2B7D"/>
    <w:rsid w:val="3D7F1150"/>
    <w:rsid w:val="3D7F5027"/>
    <w:rsid w:val="3D822306"/>
    <w:rsid w:val="3D846601"/>
    <w:rsid w:val="3D8D4C5B"/>
    <w:rsid w:val="3D990950"/>
    <w:rsid w:val="3D9B563C"/>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0196F"/>
    <w:rsid w:val="3E861A44"/>
    <w:rsid w:val="3E8C5B70"/>
    <w:rsid w:val="3E8E4694"/>
    <w:rsid w:val="3E9500CB"/>
    <w:rsid w:val="3EAC7552"/>
    <w:rsid w:val="3EBB30DC"/>
    <w:rsid w:val="3EBC0187"/>
    <w:rsid w:val="3EC2705F"/>
    <w:rsid w:val="3EC95C36"/>
    <w:rsid w:val="3ED139A0"/>
    <w:rsid w:val="3ED81B0F"/>
    <w:rsid w:val="3ED82985"/>
    <w:rsid w:val="3EE11DB9"/>
    <w:rsid w:val="3EED4169"/>
    <w:rsid w:val="3EF01875"/>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35850"/>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53A99"/>
    <w:rsid w:val="40B871C9"/>
    <w:rsid w:val="40C61BF7"/>
    <w:rsid w:val="40CE4174"/>
    <w:rsid w:val="40CF1488"/>
    <w:rsid w:val="40D20597"/>
    <w:rsid w:val="40D637A8"/>
    <w:rsid w:val="40DC577F"/>
    <w:rsid w:val="40E55521"/>
    <w:rsid w:val="40E639A3"/>
    <w:rsid w:val="40FA1D61"/>
    <w:rsid w:val="41113B6A"/>
    <w:rsid w:val="411A46AB"/>
    <w:rsid w:val="411A6C2A"/>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A4579"/>
    <w:rsid w:val="422B7FE7"/>
    <w:rsid w:val="42347B8C"/>
    <w:rsid w:val="423F58B0"/>
    <w:rsid w:val="424A769B"/>
    <w:rsid w:val="425B4E45"/>
    <w:rsid w:val="426364A4"/>
    <w:rsid w:val="426659CA"/>
    <w:rsid w:val="427D3909"/>
    <w:rsid w:val="42833005"/>
    <w:rsid w:val="428938C8"/>
    <w:rsid w:val="428C0F63"/>
    <w:rsid w:val="42955251"/>
    <w:rsid w:val="42961E1B"/>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397427"/>
    <w:rsid w:val="47410E2B"/>
    <w:rsid w:val="4743147C"/>
    <w:rsid w:val="47461CED"/>
    <w:rsid w:val="474F0CC2"/>
    <w:rsid w:val="4750010D"/>
    <w:rsid w:val="47521896"/>
    <w:rsid w:val="4753289C"/>
    <w:rsid w:val="47554D34"/>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A4F49"/>
    <w:rsid w:val="48207BF3"/>
    <w:rsid w:val="4828058E"/>
    <w:rsid w:val="4835467E"/>
    <w:rsid w:val="484418D4"/>
    <w:rsid w:val="48476CD6"/>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534A38"/>
    <w:rsid w:val="49577F5B"/>
    <w:rsid w:val="49590A49"/>
    <w:rsid w:val="495D420F"/>
    <w:rsid w:val="497271BB"/>
    <w:rsid w:val="497C1D1C"/>
    <w:rsid w:val="49802100"/>
    <w:rsid w:val="49831F08"/>
    <w:rsid w:val="4994097A"/>
    <w:rsid w:val="49993BA8"/>
    <w:rsid w:val="49A177C4"/>
    <w:rsid w:val="49CF34DB"/>
    <w:rsid w:val="49DB3130"/>
    <w:rsid w:val="49EC5752"/>
    <w:rsid w:val="49F80AFA"/>
    <w:rsid w:val="49FA1131"/>
    <w:rsid w:val="4A117D4D"/>
    <w:rsid w:val="4A1A0CF9"/>
    <w:rsid w:val="4A1C0557"/>
    <w:rsid w:val="4A203B64"/>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44027A"/>
    <w:rsid w:val="4B4E770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7866A7"/>
    <w:rsid w:val="4D7F1845"/>
    <w:rsid w:val="4D8A67DA"/>
    <w:rsid w:val="4D8B7947"/>
    <w:rsid w:val="4D943AE7"/>
    <w:rsid w:val="4D9A7380"/>
    <w:rsid w:val="4D9C3A4E"/>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13A78"/>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102C9"/>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B94BD7"/>
    <w:rsid w:val="51BC3A00"/>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35710"/>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D6F8E"/>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16D54"/>
    <w:rsid w:val="5E164C8C"/>
    <w:rsid w:val="5E172580"/>
    <w:rsid w:val="5E1C531C"/>
    <w:rsid w:val="5E1D027C"/>
    <w:rsid w:val="5E233E8C"/>
    <w:rsid w:val="5E2E6C70"/>
    <w:rsid w:val="5E36149E"/>
    <w:rsid w:val="5E363C81"/>
    <w:rsid w:val="5E377C81"/>
    <w:rsid w:val="5E4359DA"/>
    <w:rsid w:val="5E4F5801"/>
    <w:rsid w:val="5E585E7C"/>
    <w:rsid w:val="5E5D539A"/>
    <w:rsid w:val="5E6030AB"/>
    <w:rsid w:val="5E615A04"/>
    <w:rsid w:val="5E7E33CC"/>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82AB2"/>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920AF"/>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F97A11"/>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142811"/>
    <w:rsid w:val="66146718"/>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DC73D4"/>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CFF1E5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14907"/>
    <w:rsid w:val="713A4DEF"/>
    <w:rsid w:val="713A6470"/>
    <w:rsid w:val="713F01DB"/>
    <w:rsid w:val="714472D9"/>
    <w:rsid w:val="71553C77"/>
    <w:rsid w:val="7155673F"/>
    <w:rsid w:val="7161653D"/>
    <w:rsid w:val="71652E31"/>
    <w:rsid w:val="716972DE"/>
    <w:rsid w:val="716B5019"/>
    <w:rsid w:val="71715EC0"/>
    <w:rsid w:val="71721BB8"/>
    <w:rsid w:val="71792B6D"/>
    <w:rsid w:val="71822DC8"/>
    <w:rsid w:val="7182595A"/>
    <w:rsid w:val="7192581E"/>
    <w:rsid w:val="719453E4"/>
    <w:rsid w:val="719D66C8"/>
    <w:rsid w:val="71AB51EE"/>
    <w:rsid w:val="71BB17F4"/>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41842"/>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4006A"/>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14684"/>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E25A8"/>
    <w:rsid w:val="763A574B"/>
    <w:rsid w:val="7645107B"/>
    <w:rsid w:val="7658118F"/>
    <w:rsid w:val="765834E9"/>
    <w:rsid w:val="766948B0"/>
    <w:rsid w:val="766C44F4"/>
    <w:rsid w:val="766D53BF"/>
    <w:rsid w:val="767107D4"/>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91E89"/>
    <w:rsid w:val="779338FF"/>
    <w:rsid w:val="779D3992"/>
    <w:rsid w:val="77A16874"/>
    <w:rsid w:val="77A67B1B"/>
    <w:rsid w:val="77B135B8"/>
    <w:rsid w:val="77B51B62"/>
    <w:rsid w:val="77C22CB8"/>
    <w:rsid w:val="77C31373"/>
    <w:rsid w:val="77C93714"/>
    <w:rsid w:val="77CB403E"/>
    <w:rsid w:val="77D2224F"/>
    <w:rsid w:val="77DB7463"/>
    <w:rsid w:val="77EE2F50"/>
    <w:rsid w:val="77EF6D1F"/>
    <w:rsid w:val="77F07FBB"/>
    <w:rsid w:val="77F236F7"/>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B55A6"/>
    <w:rsid w:val="789C1CE6"/>
    <w:rsid w:val="78B23C5C"/>
    <w:rsid w:val="78B75C8E"/>
    <w:rsid w:val="78BC735C"/>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672EE"/>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E7B9C"/>
    <w:rsid w:val="7A0558C5"/>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67354"/>
    <w:rsid w:val="7A7A523B"/>
    <w:rsid w:val="7A800AF9"/>
    <w:rsid w:val="7A8242B4"/>
    <w:rsid w:val="7A845059"/>
    <w:rsid w:val="7A8C4073"/>
    <w:rsid w:val="7A9D6337"/>
    <w:rsid w:val="7AA00320"/>
    <w:rsid w:val="7AA33F9C"/>
    <w:rsid w:val="7AA34E89"/>
    <w:rsid w:val="7AA444FF"/>
    <w:rsid w:val="7AA924EB"/>
    <w:rsid w:val="7AAE73F4"/>
    <w:rsid w:val="7AB1224E"/>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B192C"/>
    <w:rsid w:val="7C2F62FC"/>
    <w:rsid w:val="7C451D10"/>
    <w:rsid w:val="7C485D6C"/>
    <w:rsid w:val="7C4B3831"/>
    <w:rsid w:val="7C504CDB"/>
    <w:rsid w:val="7C5846F0"/>
    <w:rsid w:val="7C5B1E77"/>
    <w:rsid w:val="7C6B4DF6"/>
    <w:rsid w:val="7C6D370B"/>
    <w:rsid w:val="7C6E0DB4"/>
    <w:rsid w:val="7C745B15"/>
    <w:rsid w:val="7C7F1521"/>
    <w:rsid w:val="7C7F3842"/>
    <w:rsid w:val="7C956A9F"/>
    <w:rsid w:val="7C9952E7"/>
    <w:rsid w:val="7C9C0351"/>
    <w:rsid w:val="7C9F2FB0"/>
    <w:rsid w:val="7CA02A08"/>
    <w:rsid w:val="7CAF279A"/>
    <w:rsid w:val="7CB62F86"/>
    <w:rsid w:val="7CDC2354"/>
    <w:rsid w:val="7CE84DF9"/>
    <w:rsid w:val="7CF27393"/>
    <w:rsid w:val="7CF56037"/>
    <w:rsid w:val="7CFC12D6"/>
    <w:rsid w:val="7CFF3642"/>
    <w:rsid w:val="7D03372B"/>
    <w:rsid w:val="7D055FEF"/>
    <w:rsid w:val="7D0B2DB7"/>
    <w:rsid w:val="7D0E3BE8"/>
    <w:rsid w:val="7D177444"/>
    <w:rsid w:val="7D1E2AB8"/>
    <w:rsid w:val="7D225ED9"/>
    <w:rsid w:val="7D3C199D"/>
    <w:rsid w:val="7D3D0619"/>
    <w:rsid w:val="7D473F94"/>
    <w:rsid w:val="7D493B8F"/>
    <w:rsid w:val="7D5407DB"/>
    <w:rsid w:val="7D5D0A96"/>
    <w:rsid w:val="7D684F15"/>
    <w:rsid w:val="7D6A7948"/>
    <w:rsid w:val="7D7C621E"/>
    <w:rsid w:val="7D7D2B7E"/>
    <w:rsid w:val="7D902263"/>
    <w:rsid w:val="7D971697"/>
    <w:rsid w:val="7DA04CA2"/>
    <w:rsid w:val="7DA66D82"/>
    <w:rsid w:val="7DB64F6F"/>
    <w:rsid w:val="7DBF255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13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23"/>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23"/>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23"/>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1</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2023-04-07T03:55:35Z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